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Gensler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Gensler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Satoshi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Cypherpunks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Cypherpunks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Cypherpunks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intermediaries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worth,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Anja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masquerading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moneys.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money.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Buy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much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fit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worry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00:11:27]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might've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groves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arithmetic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Shanghai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market,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Mercantile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things filings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Mercantile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assets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globe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crypto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note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finance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00:24:38]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approaching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sort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them, how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hiccups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we're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evade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Bitcoin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ransomware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00:31:17]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renminbi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How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because it did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00:31:57]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00:32:03]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questions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[Burns 00:32:28]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Europe,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Satoshi's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sovereign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Nakamoto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betrayals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00:35:20]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you...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00:35:43]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Well, here's a thing, Paul,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Roosevelt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automobiles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&amp;A, so I think I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00:37:32]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said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00:37:39]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00:38:01]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eliciting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$1.6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a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look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Seychelles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Seychelles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Malta or is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Seychelles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Anja and we can get some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Gensler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Ethereum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Bitcoin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Ethereum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00:41:44]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25, 50,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Howey Test.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test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00:42:48]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XYZ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fact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Just to clarify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00:43:19]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respect,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the Howey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Ethereum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Gurbir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Makes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right.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[Mojia 00:45:04]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Ethereum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00:45:43]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Satoshi Nakamoto,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00:45:56]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 Vigna: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 tell you after. I'll tell you after.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All right.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Nakamoto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know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00:48:36]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00:50:52]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bilaterals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there-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That's correct Gary.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00:52:41]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moment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anti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Satoshi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00:53:34]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Satoshi's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00:54:43]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capital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Q&amp;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Mulholland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said-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[DOWA 00:56:16]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00:56:19]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00:57:31]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 Gensler: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00:57:47]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00:57:47]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 Hormats: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 Gary. 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Arabia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 Aspen Security Forum  The View from the SEC  Cryptocurrencies and...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